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</w:p>
    <w:p w:rsidR="00F20788" w:rsidRDefault="00F20788">
      <w:pPr>
        <w:pStyle w:val="Ttulo1"/>
        <w:spacing w:line="360" w:lineRule="auto"/>
        <w:ind w:left="2396" w:firstLine="0"/>
        <w:jc w:val="center"/>
        <w:rPr>
          <w:sz w:val="22"/>
          <w:szCs w:val="22"/>
        </w:rPr>
      </w:pPr>
    </w:p>
    <w:p w:rsidR="00F20788" w:rsidRDefault="00115AB5">
      <w:pPr>
        <w:pStyle w:val="Ttulo1"/>
        <w:spacing w:line="360" w:lineRule="auto"/>
        <w:ind w:left="142" w:hanging="23"/>
        <w:jc w:val="center"/>
      </w:pPr>
      <w:r>
        <w:t>REGULAMENTO DAS OFICINAS DA 22ª MOSTRA DA PRODUÇÃO UNIVERSITÁRIA</w:t>
      </w:r>
    </w:p>
    <w:p w:rsidR="00F20788" w:rsidRDefault="00F20788">
      <w:pPr>
        <w:pStyle w:val="Ttulo1"/>
        <w:tabs>
          <w:tab w:val="left" w:pos="0"/>
        </w:tabs>
        <w:spacing w:line="360" w:lineRule="auto"/>
        <w:ind w:hanging="590"/>
        <w:rPr>
          <w:sz w:val="22"/>
          <w:szCs w:val="22"/>
        </w:rPr>
      </w:pPr>
    </w:p>
    <w:p w:rsidR="00F20788" w:rsidRDefault="00115AB5">
      <w:pPr>
        <w:pStyle w:val="Ttulo1"/>
        <w:tabs>
          <w:tab w:val="left" w:pos="0"/>
        </w:tabs>
        <w:spacing w:line="360" w:lineRule="auto"/>
        <w:ind w:hanging="590"/>
        <w:rPr>
          <w:sz w:val="22"/>
          <w:szCs w:val="22"/>
        </w:rPr>
      </w:pPr>
      <w:r>
        <w:rPr>
          <w:sz w:val="22"/>
          <w:szCs w:val="22"/>
        </w:rPr>
        <w:t>OFICINAS</w:t>
      </w:r>
    </w:p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 oficinas têm o propósito de estimular a troca de saberes, experiências e estudos nas diferentes áreas do conhecimento, fomentando processos educativos interdisciplinares. As oficinas enquanto modalidade educativa emancipatória pressupõem a prática ativa dos integrantes, oficineiros/as e participantes, com a finalidade de promover a interação entre todos e todas, pela articulação entre teoria e prática e a construção conjunta de conhecimentos.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tabs>
          <w:tab w:val="left" w:pos="0"/>
          <w:tab w:val="left" w:pos="83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1. INSCRIÇÃO PARA MINISTRANTES DE PROPOSTAS DE OFICINA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Poderão propor oficinas na 22ª MPU/FURG: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color w:val="000000"/>
        </w:rPr>
        <w:t xml:space="preserve">studantes de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color w:val="000000"/>
        </w:rPr>
        <w:t>raduação e pós-graduação (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color w:val="000000"/>
        </w:rPr>
        <w:t xml:space="preserve">resencial e EaD), docentes, TAEs e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color w:val="000000"/>
        </w:rPr>
        <w:t>omunidade externa.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As inscrições deve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color w:val="000000"/>
        </w:rPr>
        <w:t xml:space="preserve"> ser realizadas em </w:t>
      </w:r>
      <w:hyperlink r:id="rId8">
        <w:r>
          <w:rPr>
            <w:rFonts w:ascii="Arial" w:eastAsia="Arial" w:hAnsi="Arial" w:cs="Arial"/>
            <w:color w:val="000000"/>
          </w:rPr>
          <w:t>www.mpu.furg.br</w:t>
        </w:r>
      </w:hyperlink>
      <w:r>
        <w:rPr>
          <w:rFonts w:ascii="Arial" w:eastAsia="Arial" w:hAnsi="Arial" w:cs="Arial"/>
          <w:color w:val="000000"/>
        </w:rPr>
        <w:t xml:space="preserve"> no prazo estabelecido no cronograma deste Regulamento. É necessário o preenchimento completo do formulário, com dados de identificação pessoal do(a) responsável pela oficina, membros da equipe, ementa, objetivo, materiais e métodos, resultados esperados, indicação de plataforma/link a ser utilizado.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 realização das oficinas ocorrerá de forma presencial </w:t>
      </w:r>
      <w:r>
        <w:rPr>
          <w:rFonts w:ascii="Arial" w:eastAsia="Arial" w:hAnsi="Arial" w:cs="Arial"/>
        </w:rPr>
        <w:t xml:space="preserve">nas dependências da </w:t>
      </w:r>
      <w:r>
        <w:rPr>
          <w:rFonts w:ascii="Arial" w:eastAsia="Arial" w:hAnsi="Arial" w:cs="Arial"/>
          <w:color w:val="000000"/>
        </w:rPr>
        <w:t xml:space="preserve">Universidade </w:t>
      </w:r>
      <w:r>
        <w:rPr>
          <w:rFonts w:ascii="Arial" w:eastAsia="Arial" w:hAnsi="Arial" w:cs="Arial"/>
        </w:rPr>
        <w:t xml:space="preserve">conforme indicado </w:t>
      </w:r>
      <w:r>
        <w:rPr>
          <w:rFonts w:ascii="Arial" w:eastAsia="Arial" w:hAnsi="Arial" w:cs="Arial"/>
          <w:color w:val="000000"/>
        </w:rPr>
        <w:t>na programação.</w:t>
      </w:r>
    </w:p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Obs.: Serão ofertadas oficinas virtuais voltadas preferencialmente aos estudantes da modalidade EaD.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É de inteira responsabilidade do(a) proponente providenciar a divulgação, a formação de público e os materiais necessários para a realização da oficina de acordo com as informações preenchidas no formulário de inscrição.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 deslocamento até o local onde se realizará a oficina é de inteira responsabilidade do/da proponente.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 tempo de duração é de no mínimo 2 horas até no máximo de 4 horas e a data de execução é restrita ao período da 22ª MPU/FURG, de 25 a 27 de outubro de 2023.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É vedado ao proponente cobrar qualquer tipo de taxa aos participantes.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 xml:space="preserve"> Cada oficina será acompanhada por um representante da comissão organizadora da MPU que auxiliará na organização da sala e registrará a presença dos participantes.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Serão expedidos certificados eletrônicos para todos os participantes nas oficinas da 22ª MPU/FURG, desde que as informações se encontrem devidamente registradas no sistema da 22ª MPU/FURG ou nas listas de presença.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numPr>
          <w:ilvl w:val="0"/>
          <w:numId w:val="1"/>
        </w:numPr>
        <w:tabs>
          <w:tab w:val="left" w:pos="0"/>
          <w:tab w:val="left" w:pos="876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DA HOMOLOGAÇÃO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 homologação de propostas será realizada pela Comissão Organizadora da 22ª MPU.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Proponentes</w:t>
      </w:r>
      <w:r>
        <w:rPr>
          <w:rFonts w:ascii="Arial" w:eastAsia="Arial" w:hAnsi="Arial" w:cs="Arial"/>
          <w:color w:val="000000"/>
        </w:rPr>
        <w:tab/>
        <w:t>que</w:t>
      </w:r>
      <w:r>
        <w:rPr>
          <w:rFonts w:ascii="Arial" w:eastAsia="Arial" w:hAnsi="Arial" w:cs="Arial"/>
          <w:color w:val="000000"/>
        </w:rPr>
        <w:tab/>
        <w:t>não</w:t>
      </w:r>
      <w:r>
        <w:rPr>
          <w:rFonts w:ascii="Arial" w:eastAsia="Arial" w:hAnsi="Arial" w:cs="Arial"/>
          <w:color w:val="000000"/>
        </w:rPr>
        <w:tab/>
        <w:t>tenham</w:t>
      </w:r>
      <w:r>
        <w:rPr>
          <w:rFonts w:ascii="Arial" w:eastAsia="Arial" w:hAnsi="Arial" w:cs="Arial"/>
          <w:color w:val="000000"/>
        </w:rPr>
        <w:tab/>
        <w:t>preenchido</w:t>
      </w:r>
      <w:r>
        <w:rPr>
          <w:rFonts w:ascii="Arial" w:eastAsia="Arial" w:hAnsi="Arial" w:cs="Arial"/>
          <w:color w:val="000000"/>
        </w:rPr>
        <w:tab/>
        <w:t>corretamente</w:t>
      </w:r>
      <w:r>
        <w:rPr>
          <w:rFonts w:ascii="Arial" w:eastAsia="Arial" w:hAnsi="Arial" w:cs="Arial"/>
          <w:color w:val="000000"/>
        </w:rPr>
        <w:tab/>
        <w:t>o formulário de inscrição não terão suas propostas homologadas.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Caberá recurso conforme disposto no cronograma, item 2. estabelecido neste Regulamento.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numPr>
          <w:ilvl w:val="0"/>
          <w:numId w:val="1"/>
        </w:numPr>
        <w:tabs>
          <w:tab w:val="left" w:pos="0"/>
          <w:tab w:val="left" w:pos="879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AVALIAÇÃO E SELEÇÃO DAS PROPOSTAS</w:t>
      </w:r>
    </w:p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404" w:hanging="4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avaliação de propostas seguirá os seguintes critérios: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Pertinência ao tema da 22ª MPU.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Adequação da proposta ao conceito de oficina descrito no item 1, deste Regulamento.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Clareza e objetividade na descriçã</w:t>
      </w:r>
      <w:r w:rsidR="001C269E">
        <w:rPr>
          <w:rFonts w:ascii="Arial" w:eastAsia="Arial" w:hAnsi="Arial" w:cs="Arial"/>
          <w:color w:val="000000"/>
        </w:rPr>
        <w:t>o da ementa (caracterização da</w:t>
      </w:r>
      <w:r>
        <w:rPr>
          <w:rFonts w:ascii="Arial" w:eastAsia="Arial" w:hAnsi="Arial" w:cs="Arial"/>
          <w:color w:val="000000"/>
        </w:rPr>
        <w:t xml:space="preserve"> proposta).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Clareza dos objetivos.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Descrição detalhada da metodologia.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Os critérios de avaliação serão de caráter eliminatório.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Serão selecionadas até </w:t>
      </w:r>
      <w:r>
        <w:rPr>
          <w:rFonts w:ascii="Arial" w:eastAsia="Arial" w:hAnsi="Arial" w:cs="Arial"/>
        </w:rPr>
        <w:t>27</w:t>
      </w:r>
      <w:r>
        <w:rPr>
          <w:rFonts w:ascii="Arial" w:eastAsia="Arial" w:hAnsi="Arial" w:cs="Arial"/>
          <w:color w:val="000000"/>
        </w:rPr>
        <w:t xml:space="preserve"> oficinas.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77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As oficinas selecionadas serão distrib</w:t>
      </w:r>
      <w:r w:rsidR="001C269E">
        <w:rPr>
          <w:rFonts w:ascii="Arial" w:eastAsia="Arial" w:hAnsi="Arial" w:cs="Arial"/>
          <w:color w:val="000000"/>
        </w:rPr>
        <w:t xml:space="preserve">uídas de acordo com o descrito </w:t>
      </w:r>
      <w:r>
        <w:rPr>
          <w:rFonts w:ascii="Arial" w:eastAsia="Arial" w:hAnsi="Arial" w:cs="Arial"/>
          <w:color w:val="000000"/>
        </w:rPr>
        <w:t>abaixo:</w:t>
      </w:r>
    </w:p>
    <w:p w:rsidR="00F20788" w:rsidRDefault="00115AB5">
      <w:pPr>
        <w:tabs>
          <w:tab w:val="left" w:pos="0"/>
          <w:tab w:val="left" w:pos="1276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3.8.1.</w:t>
      </w:r>
      <w:r>
        <w:rPr>
          <w:rFonts w:ascii="Arial" w:eastAsia="Arial" w:hAnsi="Arial" w:cs="Arial"/>
        </w:rPr>
        <w:t xml:space="preserve"> até 12 oficinas para o Campus Carreiros;</w:t>
      </w:r>
    </w:p>
    <w:p w:rsidR="00F20788" w:rsidRDefault="00115AB5">
      <w:pPr>
        <w:tabs>
          <w:tab w:val="left" w:pos="0"/>
          <w:tab w:val="left" w:pos="1276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3.8.2.</w:t>
      </w:r>
      <w:r>
        <w:rPr>
          <w:rFonts w:ascii="Arial" w:eastAsia="Arial" w:hAnsi="Arial" w:cs="Arial"/>
        </w:rPr>
        <w:t xml:space="preserve"> até 03 oficinas para o Câmpus Santa Vitória do Palmar;</w:t>
      </w:r>
    </w:p>
    <w:p w:rsidR="00F20788" w:rsidRDefault="00115AB5">
      <w:pPr>
        <w:tabs>
          <w:tab w:val="left" w:pos="0"/>
          <w:tab w:val="left" w:pos="1276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3.8.3.</w:t>
      </w:r>
      <w:r>
        <w:rPr>
          <w:rFonts w:ascii="Arial" w:eastAsia="Arial" w:hAnsi="Arial" w:cs="Arial"/>
        </w:rPr>
        <w:t xml:space="preserve"> até 03 oficinas para o Câmpus Santo Antônio da Patrulha;</w:t>
      </w:r>
    </w:p>
    <w:p w:rsidR="00F20788" w:rsidRDefault="00115AB5">
      <w:pPr>
        <w:tabs>
          <w:tab w:val="left" w:pos="0"/>
          <w:tab w:val="left" w:pos="1276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3.8.4.</w:t>
      </w:r>
      <w:r>
        <w:rPr>
          <w:rFonts w:ascii="Arial" w:eastAsia="Arial" w:hAnsi="Arial" w:cs="Arial"/>
        </w:rPr>
        <w:t xml:space="preserve"> até 03 oficinas para o Câmpus São Lourenço do Sul;</w:t>
      </w:r>
    </w:p>
    <w:p w:rsidR="00F20788" w:rsidRDefault="00115AB5">
      <w:pPr>
        <w:tabs>
          <w:tab w:val="left" w:pos="0"/>
          <w:tab w:val="left" w:pos="1276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3.8.5.</w:t>
      </w:r>
      <w:r>
        <w:rPr>
          <w:rFonts w:ascii="Arial" w:eastAsia="Arial" w:hAnsi="Arial" w:cs="Arial"/>
        </w:rPr>
        <w:t xml:space="preserve"> até 03 oficinas para a Unidade Saúde;</w:t>
      </w:r>
    </w:p>
    <w:p w:rsidR="00F20788" w:rsidRDefault="00115AB5">
      <w:pPr>
        <w:tabs>
          <w:tab w:val="left" w:pos="0"/>
          <w:tab w:val="left" w:pos="1276"/>
        </w:tabs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b/>
        </w:rPr>
        <w:t>3.8.6.</w:t>
      </w:r>
      <w:r>
        <w:rPr>
          <w:rFonts w:ascii="Arial" w:eastAsia="Arial" w:hAnsi="Arial" w:cs="Arial"/>
        </w:rPr>
        <w:t xml:space="preserve"> até 03 oficinas virtuais, preferencialmente para os estudantes EaD.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numPr>
          <w:ilvl w:val="0"/>
          <w:numId w:val="1"/>
        </w:numPr>
        <w:tabs>
          <w:tab w:val="left" w:pos="0"/>
          <w:tab w:val="left" w:pos="591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ITENS DE PROPOSTA DE OFICINA (MODELO DE OFICINA)</w:t>
      </w:r>
    </w:p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121" w:hanging="4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As oficinas deverão seguir os seguintes critérios: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Título;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Ementa (texto breve queevidencie as principais características da atividade);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Objetivos;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Metodologia;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Resultados esperados;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Número de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color w:val="000000"/>
        </w:rPr>
        <w:t>agas;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Nome, CPF e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color w:val="000000"/>
        </w:rPr>
        <w:t>-mail dos ministrantes;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2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Turno e dia preferencial de realização da oficina</w:t>
      </w:r>
      <w:r>
        <w:rPr>
          <w:rFonts w:ascii="Arial" w:eastAsia="Arial" w:hAnsi="Arial" w:cs="Arial"/>
        </w:rPr>
        <w:t>.</w:t>
      </w:r>
    </w:p>
    <w:p w:rsidR="00F20788" w:rsidRDefault="00F20788">
      <w:pPr>
        <w:tabs>
          <w:tab w:val="left" w:pos="0"/>
        </w:tabs>
        <w:spacing w:line="360" w:lineRule="auto"/>
        <w:rPr>
          <w:rFonts w:ascii="Arial" w:eastAsia="Arial" w:hAnsi="Arial" w:cs="Arial"/>
        </w:rPr>
      </w:pPr>
    </w:p>
    <w:p w:rsidR="00F20788" w:rsidRDefault="00115A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INSCRIÇÃO PARA PARTICIPANTES DE OFICINA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0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Poderão inscrever-se para participar das oficinas propostas na 22ª MPU/FURG: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color w:val="000000"/>
        </w:rPr>
        <w:t xml:space="preserve">studantes de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color w:val="000000"/>
        </w:rPr>
        <w:t xml:space="preserve">raduação e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color w:val="000000"/>
        </w:rPr>
        <w:t>ós-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color w:val="000000"/>
        </w:rPr>
        <w:t>raduação (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color w:val="000000"/>
        </w:rPr>
        <w:t>rese</w:t>
      </w:r>
      <w:r>
        <w:rPr>
          <w:rFonts w:ascii="Arial" w:eastAsia="Arial" w:hAnsi="Arial" w:cs="Arial"/>
        </w:rPr>
        <w:t>ncial e EaD)</w:t>
      </w:r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color w:val="000000"/>
        </w:rPr>
        <w:t xml:space="preserve">ocentes, TAEs e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color w:val="000000"/>
        </w:rPr>
        <w:t xml:space="preserve">omunidade externa. 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01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As inscrições devem ser realizadas em </w:t>
      </w:r>
      <w:hyperlink r:id="rId9">
        <w:r>
          <w:rPr>
            <w:rFonts w:ascii="Arial" w:eastAsia="Arial" w:hAnsi="Arial" w:cs="Arial"/>
            <w:color w:val="000000"/>
          </w:rPr>
          <w:t>www.mpu.furg.br</w:t>
        </w:r>
      </w:hyperlink>
      <w:r>
        <w:rPr>
          <w:rFonts w:ascii="Arial" w:eastAsia="Arial" w:hAnsi="Arial" w:cs="Arial"/>
          <w:color w:val="000000"/>
        </w:rPr>
        <w:t xml:space="preserve"> no prazo estabelecido no cronograma deste Regulamento.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numPr>
          <w:ilvl w:val="0"/>
          <w:numId w:val="1"/>
        </w:numPr>
        <w:tabs>
          <w:tab w:val="left" w:pos="0"/>
          <w:tab w:val="left" w:pos="657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CERTIFICADOS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8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Proponentes de oficinas somente terão direito ao certificado se a oficina se efetivar na data e hora definidas pela comissão organizadora.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8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Os participantes das oficinas terão direito a certificação de conclusão da oficina mediante comprovação de presença nas salas de aula ou na plataforma indicada para a realização da atividade.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8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Os dados constantes no certificado, tais como título da oficina e nomes dos ministrantes e participantes, corresponderão aos registrados no momento da inscrição, sendo de inteira responsabilidade do interessado, não podendo ser alterados após a inscrição.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8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A notificação dos certificados será enviada ao e-mail cadastrado no momento da inscrição.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8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Não terão direito ao certificado oficinas que não ocorram devido à ausência de inscritos, não comparecimento dos participantes, ou aquelas que não ocorrerem devido a quaisquer outros problemas.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A1541" w:rsidRDefault="00FA154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numPr>
          <w:ilvl w:val="0"/>
          <w:numId w:val="1"/>
        </w:numPr>
        <w:tabs>
          <w:tab w:val="left" w:pos="0"/>
          <w:tab w:val="left" w:pos="657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DISPOSIÇÕES GERAIS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b/>
          <w:color w:val="000000"/>
        </w:rPr>
      </w:pP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370"/>
        </w:tabs>
        <w:spacing w:line="360" w:lineRule="auto"/>
        <w:ind w:left="548" w:hanging="4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Todas as etapas de inscrição de propostas de oficina e/ou participação nas mesmas da 22ª MPU serão realizadas por meio do sistema eletrônico e serão de inteira responsabilidade dos participantes.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370"/>
        </w:tabs>
        <w:spacing w:line="360" w:lineRule="auto"/>
        <w:ind w:left="548" w:hanging="4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Comissão Organizadora não se responsabilizará por mensagens não recebidas pelo destinatário, decorrentes de endereço eletrônico incorreto ou desatualizado, controle de spam ou problemas técnicos de qualquer natureza.</w:t>
      </w:r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370"/>
        </w:tabs>
        <w:spacing w:line="360" w:lineRule="auto"/>
        <w:ind w:left="548" w:hanging="4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Quaisquer dúvidas, sugestões ou reclamações deverão ser encaminhadas à Comissão Organizadora, exclusivamente, pelo endereço eletrônico</w:t>
      </w:r>
      <w:hyperlink r:id="rId10">
        <w:r>
          <w:rPr>
            <w:rFonts w:ascii="Arial" w:eastAsia="Arial" w:hAnsi="Arial" w:cs="Arial"/>
            <w:color w:val="0000FF"/>
            <w:u w:val="single"/>
          </w:rPr>
          <w:t>mpu@furg.br</w:t>
        </w:r>
      </w:hyperlink>
      <w:hyperlink r:id="rId11">
        <w:r>
          <w:rPr>
            <w:rFonts w:ascii="Arial" w:eastAsia="Arial" w:hAnsi="Arial" w:cs="Arial"/>
            <w:color w:val="000000"/>
          </w:rPr>
          <w:t>.</w:t>
        </w:r>
      </w:hyperlink>
    </w:p>
    <w:p w:rsidR="00F20788" w:rsidRDefault="00115AB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370"/>
        </w:tabs>
        <w:spacing w:line="360" w:lineRule="auto"/>
        <w:ind w:left="548" w:hanging="48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Os casos omissos neste Regulamento serão analisados pela Comissão Organizadora da 22ª MPU.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hanging="480"/>
        <w:rPr>
          <w:rFonts w:ascii="Arial" w:eastAsia="Arial" w:hAnsi="Arial" w:cs="Arial"/>
          <w:color w:val="000000"/>
        </w:rPr>
      </w:pPr>
    </w:p>
    <w:p w:rsidR="00F20788" w:rsidRDefault="00115AB5">
      <w:pPr>
        <w:pStyle w:val="Ttulo1"/>
        <w:numPr>
          <w:ilvl w:val="0"/>
          <w:numId w:val="1"/>
        </w:numPr>
        <w:tabs>
          <w:tab w:val="left" w:pos="392"/>
        </w:tabs>
        <w:spacing w:line="360" w:lineRule="auto"/>
        <w:ind w:left="391" w:hanging="271"/>
        <w:rPr>
          <w:sz w:val="22"/>
          <w:szCs w:val="22"/>
        </w:rPr>
      </w:pPr>
      <w:r>
        <w:rPr>
          <w:sz w:val="22"/>
          <w:szCs w:val="22"/>
        </w:rPr>
        <w:t>CRONOGRAMA DAS OFICINAS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</w:p>
    <w:tbl>
      <w:tblPr>
        <w:tblStyle w:val="a"/>
        <w:tblW w:w="9058" w:type="dxa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2091"/>
        <w:gridCol w:w="3882"/>
        <w:gridCol w:w="3085"/>
      </w:tblGrid>
      <w:tr w:rsidR="00F20788" w:rsidTr="00FA1541">
        <w:trPr>
          <w:trHeight w:val="865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546" w:hanging="25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Datas 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Atividade</w:t>
            </w:r>
          </w:p>
        </w:tc>
        <w:tc>
          <w:tcPr>
            <w:tcW w:w="3085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96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Local de divulgação e realização</w:t>
            </w:r>
          </w:p>
        </w:tc>
      </w:tr>
      <w:tr w:rsidR="00F20788" w:rsidTr="00FA1541">
        <w:trPr>
          <w:trHeight w:val="856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color w:val="000000"/>
              </w:rPr>
              <w:t>/06/2023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40"/>
              </w:tabs>
              <w:spacing w:line="360" w:lineRule="auto"/>
              <w:ind w:left="79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Divulgação do Regulamento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12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/>
              <w:rPr>
                <w:rFonts w:ascii="Arial" w:eastAsia="Arial" w:hAnsi="Arial" w:cs="Arial"/>
                <w:color w:val="000000"/>
              </w:rPr>
            </w:pPr>
            <w:hyperlink r:id="rId13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697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color w:val="000000"/>
              </w:rPr>
              <w:t>/06 a 19/07/2023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Período de inscrições de propostas de oficinas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14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15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839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Até 15/08/2023</w:t>
            </w:r>
          </w:p>
        </w:tc>
        <w:tc>
          <w:tcPr>
            <w:tcW w:w="3882" w:type="dxa"/>
          </w:tcPr>
          <w:p w:rsidR="00F20788" w:rsidRDefault="001C2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6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333333"/>
              </w:rPr>
              <w:t xml:space="preserve">Divulgação da lista preliminar </w:t>
            </w:r>
            <w:r w:rsidR="00115AB5">
              <w:rPr>
                <w:rFonts w:ascii="Arial" w:eastAsia="Arial" w:hAnsi="Arial" w:cs="Arial"/>
                <w:color w:val="333333"/>
              </w:rPr>
              <w:t>das oficinas homologadas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16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/>
              <w:rPr>
                <w:rFonts w:ascii="Arial" w:eastAsia="Arial" w:hAnsi="Arial" w:cs="Arial"/>
                <w:color w:val="000000"/>
              </w:rPr>
            </w:pPr>
            <w:hyperlink r:id="rId17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842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Até 18/08/2023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333333"/>
              </w:rPr>
              <w:t>Período de recurso da lista preliminar de oficinas não homologadas</w:t>
            </w:r>
          </w:p>
        </w:tc>
        <w:tc>
          <w:tcPr>
            <w:tcW w:w="3085" w:type="dxa"/>
          </w:tcPr>
          <w:p w:rsidR="00F20788" w:rsidRDefault="00F207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b/>
                <w:color w:val="000000"/>
              </w:rPr>
            </w:pP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18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mpu@furg.br</w:t>
              </w:r>
            </w:hyperlink>
          </w:p>
        </w:tc>
      </w:tr>
      <w:tr w:rsidR="00F20788" w:rsidTr="00FA1541">
        <w:trPr>
          <w:trHeight w:val="832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Até 23/08/2023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333333"/>
              </w:rPr>
              <w:t>Divulgação da lista final de oficinas homologadas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19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 w:firstLine="2"/>
              <w:rPr>
                <w:rFonts w:ascii="Arial" w:eastAsia="Arial" w:hAnsi="Arial" w:cs="Arial"/>
                <w:color w:val="000000"/>
              </w:rPr>
            </w:pPr>
            <w:hyperlink r:id="rId20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830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23/08 a 06/09/2023</w:t>
            </w:r>
          </w:p>
        </w:tc>
        <w:tc>
          <w:tcPr>
            <w:tcW w:w="3882" w:type="dxa"/>
          </w:tcPr>
          <w:p w:rsidR="00F20788" w:rsidRDefault="001C2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34"/>
                <w:tab w:val="left" w:pos="1954"/>
              </w:tabs>
              <w:spacing w:line="360" w:lineRule="auto"/>
              <w:ind w:left="141" w:hanging="8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Avaliação das propostas </w:t>
            </w:r>
            <w:r w:rsidR="00115AB5">
              <w:rPr>
                <w:rFonts w:ascii="Arial" w:eastAsia="Arial" w:hAnsi="Arial" w:cs="Arial"/>
                <w:color w:val="000000"/>
              </w:rPr>
              <w:t>de oficinas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21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22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700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11/09/2023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Divulgação da lista de oficinas pré-selecionadas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23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 w:firstLine="2"/>
              <w:rPr>
                <w:rFonts w:ascii="Arial" w:eastAsia="Arial" w:hAnsi="Arial" w:cs="Arial"/>
                <w:color w:val="000000"/>
              </w:rPr>
            </w:pPr>
            <w:hyperlink r:id="rId24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782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13/09/2023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Período de recurso da lista preliminar de oficinas pré-selecionadas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25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mpu@furg.br</w:t>
              </w:r>
            </w:hyperlink>
          </w:p>
        </w:tc>
      </w:tr>
      <w:tr w:rsidR="00F20788" w:rsidTr="00FA1541">
        <w:trPr>
          <w:trHeight w:val="836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14/09/2023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Lista final de oficinas selecionadas para a 22ª MPU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26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 w:firstLine="2"/>
              <w:rPr>
                <w:rFonts w:ascii="Arial" w:eastAsia="Arial" w:hAnsi="Arial" w:cs="Arial"/>
                <w:color w:val="000000"/>
              </w:rPr>
            </w:pPr>
            <w:hyperlink r:id="rId27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841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17/09 a 18/10/2023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Inscrição de participantes das oficinas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28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 w:firstLine="2"/>
              <w:rPr>
                <w:rFonts w:ascii="Arial" w:eastAsia="Arial" w:hAnsi="Arial" w:cs="Arial"/>
                <w:color w:val="000000"/>
              </w:rPr>
            </w:pPr>
            <w:hyperlink r:id="rId29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824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20/10/2023</w:t>
            </w:r>
          </w:p>
        </w:tc>
        <w:tc>
          <w:tcPr>
            <w:tcW w:w="3882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Homologação da lista de inscritos nas oficinas</w:t>
            </w:r>
          </w:p>
        </w:tc>
        <w:tc>
          <w:tcPr>
            <w:tcW w:w="3085" w:type="dxa"/>
          </w:tcPr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89"/>
              </w:tabs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hyperlink r:id="rId30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www.mpu.furg.br</w:t>
              </w:r>
            </w:hyperlink>
            <w:r w:rsidR="00115AB5">
              <w:rPr>
                <w:rFonts w:ascii="Arial" w:eastAsia="Arial" w:hAnsi="Arial" w:cs="Arial"/>
                <w:color w:val="0000FF"/>
              </w:rPr>
              <w:tab/>
            </w:r>
            <w:r w:rsidR="00115AB5">
              <w:rPr>
                <w:rFonts w:ascii="Arial" w:eastAsia="Arial" w:hAnsi="Arial" w:cs="Arial"/>
                <w:color w:val="000000"/>
              </w:rPr>
              <w:t>e</w:t>
            </w:r>
          </w:p>
          <w:p w:rsidR="00F20788" w:rsidRDefault="00ED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6" w:firstLine="2"/>
              <w:rPr>
                <w:rFonts w:ascii="Arial" w:eastAsia="Arial" w:hAnsi="Arial" w:cs="Arial"/>
                <w:color w:val="000000"/>
              </w:rPr>
            </w:pPr>
            <w:hyperlink r:id="rId31">
              <w:r w:rsidR="00115AB5">
                <w:rPr>
                  <w:rFonts w:ascii="Arial" w:eastAsia="Arial" w:hAnsi="Arial" w:cs="Arial"/>
                  <w:color w:val="0000FF"/>
                  <w:u w:val="single"/>
                </w:rPr>
                <w:t>www.furg.br</w:t>
              </w:r>
            </w:hyperlink>
          </w:p>
        </w:tc>
      </w:tr>
      <w:tr w:rsidR="00F20788" w:rsidTr="00FA1541">
        <w:trPr>
          <w:trHeight w:val="1268"/>
        </w:trPr>
        <w:tc>
          <w:tcPr>
            <w:tcW w:w="2091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 a 27/10/2023</w:t>
            </w:r>
          </w:p>
        </w:tc>
        <w:tc>
          <w:tcPr>
            <w:tcW w:w="3882" w:type="dxa"/>
          </w:tcPr>
          <w:p w:rsidR="00F20788" w:rsidRDefault="00115AB5" w:rsidP="001C2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Realização das oficinas da 22ª MPU</w:t>
            </w:r>
          </w:p>
        </w:tc>
        <w:tc>
          <w:tcPr>
            <w:tcW w:w="3085" w:type="dxa"/>
          </w:tcPr>
          <w:p w:rsidR="00F20788" w:rsidRDefault="00115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55" w:hanging="7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Ca</w:t>
            </w:r>
            <w:r>
              <w:rPr>
                <w:rFonts w:ascii="Arial" w:eastAsia="Arial" w:hAnsi="Arial" w:cs="Arial"/>
                <w:color w:val="000000"/>
              </w:rPr>
              <w:t>mpus Carreiros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color w:val="000000"/>
              </w:rPr>
              <w:t xml:space="preserve"> demais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color w:val="000000"/>
              </w:rPr>
              <w:t>ampi da Universidade e no formato virtual.</w:t>
            </w:r>
          </w:p>
        </w:tc>
      </w:tr>
    </w:tbl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</w:p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96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Rio Grande, 1</w:t>
      </w:r>
      <w:r>
        <w:rPr>
          <w:rFonts w:ascii="Arial" w:eastAsia="Arial" w:hAnsi="Arial" w:cs="Arial"/>
        </w:rPr>
        <w:t>9</w:t>
      </w:r>
      <w:r w:rsidR="00B269BE">
        <w:rPr>
          <w:rFonts w:ascii="Arial" w:eastAsia="Arial" w:hAnsi="Arial" w:cs="Arial"/>
          <w:color w:val="000000"/>
        </w:rPr>
        <w:t xml:space="preserve">de </w:t>
      </w:r>
      <w:bookmarkStart w:id="0" w:name="_GoBack"/>
      <w:bookmarkEnd w:id="0"/>
      <w:r>
        <w:rPr>
          <w:rFonts w:ascii="Arial" w:eastAsia="Arial" w:hAnsi="Arial" w:cs="Arial"/>
          <w:color w:val="000000"/>
        </w:rPr>
        <w:t>junho de 2023.</w:t>
      </w: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</w:p>
    <w:p w:rsidR="00F20788" w:rsidRDefault="00F207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</w:p>
    <w:p w:rsidR="00F20788" w:rsidRDefault="00115A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13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Comissão Organizadora da 22ª Mostra da Produção Universitária</w:t>
      </w:r>
    </w:p>
    <w:sectPr w:rsidR="00F20788" w:rsidSect="00ED74AD">
      <w:headerReference w:type="default" r:id="rId32"/>
      <w:footerReference w:type="default" r:id="rId33"/>
      <w:pgSz w:w="11910" w:h="16840"/>
      <w:pgMar w:top="2835" w:right="1134" w:bottom="1134" w:left="1701" w:header="709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DFE" w:rsidRDefault="00E33DFE">
      <w:r>
        <w:separator/>
      </w:r>
    </w:p>
  </w:endnote>
  <w:endnote w:type="continuationSeparator" w:id="1">
    <w:p w:rsidR="00E33DFE" w:rsidRDefault="00E33D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88" w:rsidRDefault="00ED74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fldChar w:fldCharType="begin"/>
    </w:r>
    <w:r w:rsidR="00115AB5"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D55729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:rsidR="00F20788" w:rsidRDefault="00F207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DFE" w:rsidRDefault="00E33DFE">
      <w:r>
        <w:separator/>
      </w:r>
    </w:p>
  </w:footnote>
  <w:footnote w:type="continuationSeparator" w:id="1">
    <w:p w:rsidR="00E33DFE" w:rsidRDefault="00E33D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788" w:rsidRDefault="00D557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pt-BR"/>
      </w:rPr>
      <w:drawing>
        <wp:inline distT="0" distB="0" distL="0" distR="0">
          <wp:extent cx="5762625" cy="1142264"/>
          <wp:effectExtent l="19050" t="0" r="9525" b="0"/>
          <wp:docPr id="1" name="Imagem 1" descr="D:\Backup 19-05-2017\Users\Renata\Documents\DIPESQ\Documentos período Coronavírus\22º MPU\cabeçalho-regulament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ackup 19-05-2017\Users\Renata\Documents\DIPESQ\Documentos período Coronavírus\22º MPU\cabeçalho-regulamentos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422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0788" w:rsidRDefault="00F2078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D7BE8"/>
    <w:multiLevelType w:val="multilevel"/>
    <w:tmpl w:val="B360F874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30" w:hanging="426"/>
      </w:pPr>
      <w:rPr>
        <w:rFonts w:ascii="Arial" w:eastAsia="Arial" w:hAnsi="Arial" w:cs="Arial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688" w:hanging="768"/>
      </w:pPr>
      <w:rPr>
        <w:rFonts w:ascii="Arial" w:eastAsia="Arial" w:hAnsi="Arial" w:cs="Arial"/>
        <w:b/>
        <w:sz w:val="24"/>
        <w:szCs w:val="24"/>
      </w:rPr>
    </w:lvl>
    <w:lvl w:ilvl="3">
      <w:numFmt w:val="bullet"/>
      <w:lvlText w:val="•"/>
      <w:lvlJc w:val="left"/>
      <w:pPr>
        <w:ind w:left="840" w:hanging="768"/>
      </w:pPr>
    </w:lvl>
    <w:lvl w:ilvl="4">
      <w:numFmt w:val="bullet"/>
      <w:lvlText w:val="•"/>
      <w:lvlJc w:val="left"/>
      <w:pPr>
        <w:ind w:left="1360" w:hanging="768"/>
      </w:pPr>
    </w:lvl>
    <w:lvl w:ilvl="5">
      <w:numFmt w:val="bullet"/>
      <w:lvlText w:val="•"/>
      <w:lvlJc w:val="left"/>
      <w:pPr>
        <w:ind w:left="1420" w:hanging="768"/>
      </w:pPr>
    </w:lvl>
    <w:lvl w:ilvl="6">
      <w:numFmt w:val="bullet"/>
      <w:lvlText w:val="•"/>
      <w:lvlJc w:val="left"/>
      <w:pPr>
        <w:ind w:left="3029" w:hanging="768"/>
      </w:pPr>
    </w:lvl>
    <w:lvl w:ilvl="7">
      <w:numFmt w:val="bullet"/>
      <w:lvlText w:val="•"/>
      <w:lvlJc w:val="left"/>
      <w:pPr>
        <w:ind w:left="4638" w:hanging="768"/>
      </w:pPr>
    </w:lvl>
    <w:lvl w:ilvl="8">
      <w:numFmt w:val="bullet"/>
      <w:lvlText w:val="•"/>
      <w:lvlJc w:val="left"/>
      <w:pPr>
        <w:ind w:left="6247" w:hanging="767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20788"/>
    <w:rsid w:val="00115AB5"/>
    <w:rsid w:val="001C269E"/>
    <w:rsid w:val="004B1DFC"/>
    <w:rsid w:val="00B269BE"/>
    <w:rsid w:val="00B32250"/>
    <w:rsid w:val="00D55729"/>
    <w:rsid w:val="00E33DFE"/>
    <w:rsid w:val="00ED74AD"/>
    <w:rsid w:val="00F20788"/>
    <w:rsid w:val="00F75B41"/>
    <w:rsid w:val="00FA1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4AD"/>
  </w:style>
  <w:style w:type="paragraph" w:styleId="Ttulo1">
    <w:name w:val="heading 1"/>
    <w:basedOn w:val="Normal"/>
    <w:uiPriority w:val="9"/>
    <w:qFormat/>
    <w:rsid w:val="00ED74AD"/>
    <w:pPr>
      <w:ind w:left="590" w:hanging="47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D74A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D74A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D74A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ED74A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ED74A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D74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ED74A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ED74A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D74A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ED74AD"/>
    <w:pPr>
      <w:ind w:left="687"/>
    </w:pPr>
  </w:style>
  <w:style w:type="paragraph" w:customStyle="1" w:styleId="TableParagraph">
    <w:name w:val="Table Paragraph"/>
    <w:basedOn w:val="Normal"/>
    <w:uiPriority w:val="1"/>
    <w:qFormat/>
    <w:rsid w:val="00ED74AD"/>
    <w:pPr>
      <w:spacing w:before="17"/>
      <w:ind w:left="78"/>
    </w:pPr>
  </w:style>
  <w:style w:type="paragraph" w:styleId="Cabealho">
    <w:name w:val="header"/>
    <w:basedOn w:val="Normal"/>
    <w:link w:val="CabealhoChar"/>
    <w:uiPriority w:val="99"/>
    <w:unhideWhenUsed/>
    <w:rsid w:val="00AD61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614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D61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614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859D1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859D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rsid w:val="00ED74A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ED74A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557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57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MT" w:eastAsia="Arial MT" w:hAnsi="Arial MT" w:cs="Arial MT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590" w:hanging="47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687"/>
    </w:pPr>
  </w:style>
  <w:style w:type="paragraph" w:customStyle="1" w:styleId="TableParagraph">
    <w:name w:val="Table Paragraph"/>
    <w:basedOn w:val="Normal"/>
    <w:uiPriority w:val="1"/>
    <w:qFormat/>
    <w:pPr>
      <w:spacing w:before="17"/>
      <w:ind w:left="78"/>
    </w:pPr>
  </w:style>
  <w:style w:type="paragraph" w:styleId="Cabealho">
    <w:name w:val="header"/>
    <w:basedOn w:val="Normal"/>
    <w:link w:val="CabealhoChar"/>
    <w:uiPriority w:val="99"/>
    <w:unhideWhenUsed/>
    <w:rsid w:val="00AD61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614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D61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614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859D1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859D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u.furg.br/" TargetMode="External"/><Relationship Id="rId13" Type="http://schemas.openxmlformats.org/officeDocument/2006/relationships/hyperlink" Target="http://www.furg.br/" TargetMode="External"/><Relationship Id="rId18" Type="http://schemas.openxmlformats.org/officeDocument/2006/relationships/hyperlink" Target="mailto:mpu@furg.br" TargetMode="External"/><Relationship Id="rId26" Type="http://schemas.openxmlformats.org/officeDocument/2006/relationships/hyperlink" Target="http://www.mpu.furg.br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mpu.furg.br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pu.furg.br/" TargetMode="External"/><Relationship Id="rId17" Type="http://schemas.openxmlformats.org/officeDocument/2006/relationships/hyperlink" Target="http://www.furg.br/" TargetMode="External"/><Relationship Id="rId25" Type="http://schemas.openxmlformats.org/officeDocument/2006/relationships/hyperlink" Target="mailto:mpu@furg.br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mpu.furg.br/" TargetMode="External"/><Relationship Id="rId20" Type="http://schemas.openxmlformats.org/officeDocument/2006/relationships/hyperlink" Target="http://www.furg.br/" TargetMode="External"/><Relationship Id="rId29" Type="http://schemas.openxmlformats.org/officeDocument/2006/relationships/hyperlink" Target="http://www.furg.b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pu@furg.br" TargetMode="External"/><Relationship Id="rId24" Type="http://schemas.openxmlformats.org/officeDocument/2006/relationships/hyperlink" Target="http://www.furg.br/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furg.br/" TargetMode="External"/><Relationship Id="rId23" Type="http://schemas.openxmlformats.org/officeDocument/2006/relationships/hyperlink" Target="http://www.mpu.furg.br/" TargetMode="External"/><Relationship Id="rId28" Type="http://schemas.openxmlformats.org/officeDocument/2006/relationships/hyperlink" Target="http://www.mpu.furg.br/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mailto:mpu@furg.br" TargetMode="External"/><Relationship Id="rId19" Type="http://schemas.openxmlformats.org/officeDocument/2006/relationships/hyperlink" Target="http://www.mpu.furg.br/" TargetMode="External"/><Relationship Id="rId31" Type="http://schemas.openxmlformats.org/officeDocument/2006/relationships/hyperlink" Target="http://www.fu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pu.furg.br/" TargetMode="External"/><Relationship Id="rId14" Type="http://schemas.openxmlformats.org/officeDocument/2006/relationships/hyperlink" Target="http://www.mpu.furg.br/" TargetMode="External"/><Relationship Id="rId22" Type="http://schemas.openxmlformats.org/officeDocument/2006/relationships/hyperlink" Target="http://www.furg.br/" TargetMode="External"/><Relationship Id="rId27" Type="http://schemas.openxmlformats.org/officeDocument/2006/relationships/hyperlink" Target="http://www.furg.br/" TargetMode="External"/><Relationship Id="rId30" Type="http://schemas.openxmlformats.org/officeDocument/2006/relationships/hyperlink" Target="http://www.mpu.furg.br/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GymCJqkGQvlKsmhL2QDVJRRqeA==">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1232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3</cp:revision>
  <dcterms:created xsi:type="dcterms:W3CDTF">2023-06-16T11:57:00Z</dcterms:created>
  <dcterms:modified xsi:type="dcterms:W3CDTF">2023-06-16T11:57:00Z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2022-07-18T00:00:00Z</vt:filetime>
  </property>
  <property fmtid="{D5CDD505-2E9C-101B-9397-08002B2CF9AE}" pid="3" name="LastSaved">
    <vt:filetime>2023-05-11T00:00:00Z</vt:filetime>
  </property>
</Properties>
</file>